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D4" w:rsidRPr="006C6CD4" w:rsidRDefault="006C6CD4" w:rsidP="002B3D48">
      <w:pPr>
        <w:spacing w:line="240" w:lineRule="auto"/>
        <w:ind w:left="-142"/>
        <w:jc w:val="both"/>
        <w:outlineLvl w:val="0"/>
        <w:rPr>
          <w:rFonts w:ascii="Arial" w:hAnsi="Arial"/>
          <w:sz w:val="22"/>
          <w:lang w:val="fr-BE"/>
        </w:rPr>
      </w:pPr>
      <w:r w:rsidRPr="006C6CD4">
        <w:rPr>
          <w:rFonts w:ascii="Arial" w:hAnsi="Arial"/>
          <w:sz w:val="22"/>
          <w:lang w:val="fr-BE"/>
        </w:rPr>
        <w:t>Veuillez indiquer si votre offre répond aux exigences minimales des spécifications techniques ("OUI" ou "NON") et, le cas échéant, indiquez le numéro de la page de votre offre dans laquelle il est démontré que celle-ci est conforme à l'exigence minimale. Le pouvoir adjudicateur [rejettera] [se réserve le droit de rejeter] les offres qui [ne sont pas conformes] [ne démontrent pas qu'elles sont conformes] aux exigences minimales ou dans lesquelles un point n'a pas été traité. Le présent formulaire à remplir ne peut pas être modifié.</w:t>
      </w:r>
    </w:p>
    <w:tbl>
      <w:tblPr>
        <w:tblW w:w="14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20" w:firstRow="1" w:lastRow="0" w:firstColumn="0" w:lastColumn="0" w:noHBand="0" w:noVBand="1"/>
      </w:tblPr>
      <w:tblGrid>
        <w:gridCol w:w="877"/>
        <w:gridCol w:w="11326"/>
        <w:gridCol w:w="1202"/>
        <w:gridCol w:w="1150"/>
      </w:tblGrid>
      <w:tr w:rsidR="006C6CD4" w:rsidRPr="00E92CD5" w:rsidTr="0008237E">
        <w:trPr>
          <w:cantSplit/>
          <w:trHeight w:val="1030"/>
          <w:tblHeader/>
        </w:trPr>
        <w:tc>
          <w:tcPr>
            <w:tcW w:w="0" w:type="auto"/>
            <w:tcBorders>
              <w:top w:val="double" w:sz="4" w:space="0" w:color="auto"/>
              <w:left w:val="double" w:sz="4" w:space="0" w:color="auto"/>
              <w:bottom w:val="double" w:sz="4" w:space="0" w:color="auto"/>
            </w:tcBorders>
          </w:tcPr>
          <w:p w:rsidR="006C6CD4" w:rsidRPr="000F505D" w:rsidRDefault="006C6CD4" w:rsidP="00474C01">
            <w:pPr>
              <w:tabs>
                <w:tab w:val="left" w:pos="273"/>
              </w:tabs>
              <w:spacing w:before="60" w:afterLines="60" w:after="144" w:line="240" w:lineRule="auto"/>
              <w:jc w:val="center"/>
              <w:outlineLvl w:val="0"/>
              <w:rPr>
                <w:rFonts w:asciiTheme="minorBidi" w:hAnsiTheme="minorBidi" w:cstheme="minorBidi"/>
                <w:b/>
                <w:bCs/>
                <w:sz w:val="22"/>
                <w:lang w:val="en-GB"/>
              </w:rPr>
            </w:pPr>
            <w:r w:rsidRPr="008E2AC7">
              <w:rPr>
                <w:rFonts w:ascii="Arial" w:hAnsi="Arial"/>
                <w:b/>
                <w:bCs/>
                <w:sz w:val="22"/>
              </w:rPr>
              <w:t>REF. AUX SPÉC. TECH.</w:t>
            </w:r>
          </w:p>
        </w:tc>
        <w:tc>
          <w:tcPr>
            <w:tcW w:w="11326" w:type="dxa"/>
            <w:tcBorders>
              <w:top w:val="double" w:sz="4" w:space="0" w:color="auto"/>
              <w:bottom w:val="double" w:sz="4" w:space="0" w:color="auto"/>
            </w:tcBorders>
            <w:shd w:val="clear" w:color="auto" w:fill="auto"/>
          </w:tcPr>
          <w:p w:rsidR="004F69A2" w:rsidRPr="000F505D" w:rsidRDefault="006C6CD4" w:rsidP="00474C01">
            <w:pPr>
              <w:tabs>
                <w:tab w:val="left" w:pos="273"/>
              </w:tabs>
              <w:spacing w:before="120" w:after="120" w:line="240" w:lineRule="auto"/>
              <w:jc w:val="center"/>
              <w:outlineLvl w:val="0"/>
              <w:rPr>
                <w:rFonts w:asciiTheme="minorBidi" w:hAnsiTheme="minorBidi" w:cstheme="minorBidi"/>
                <w:b/>
                <w:bCs/>
                <w:sz w:val="22"/>
                <w:lang w:val="en-GB"/>
              </w:rPr>
            </w:pPr>
            <w:r w:rsidRPr="008E2AC7">
              <w:rPr>
                <w:rFonts w:ascii="Arial" w:hAnsi="Arial"/>
                <w:b/>
                <w:bCs/>
                <w:sz w:val="22"/>
              </w:rPr>
              <w:t>DESCRIPTION DE L'EXIGENCE MINIMALE</w:t>
            </w:r>
          </w:p>
          <w:p w:rsidR="006C6CD4" w:rsidRPr="000F505D" w:rsidRDefault="006C6CD4" w:rsidP="00474C01">
            <w:pPr>
              <w:tabs>
                <w:tab w:val="left" w:pos="273"/>
              </w:tabs>
              <w:spacing w:before="120" w:after="120" w:line="240" w:lineRule="auto"/>
              <w:jc w:val="center"/>
              <w:outlineLvl w:val="0"/>
              <w:rPr>
                <w:rFonts w:asciiTheme="minorBidi" w:hAnsiTheme="minorBidi" w:cstheme="minorBidi"/>
                <w:b/>
                <w:bCs/>
                <w:sz w:val="22"/>
                <w:lang w:val="en-GB"/>
              </w:rPr>
            </w:pPr>
          </w:p>
        </w:tc>
        <w:tc>
          <w:tcPr>
            <w:tcW w:w="1202" w:type="dxa"/>
            <w:tcBorders>
              <w:top w:val="double" w:sz="4" w:space="0" w:color="auto"/>
              <w:bottom w:val="double" w:sz="4" w:space="0" w:color="auto"/>
              <w:right w:val="double" w:sz="4" w:space="0" w:color="auto"/>
            </w:tcBorders>
          </w:tcPr>
          <w:p w:rsidR="006C6CD4" w:rsidRPr="000F505D" w:rsidRDefault="006C6CD4" w:rsidP="00474C01">
            <w:pPr>
              <w:spacing w:before="60" w:afterLines="60" w:after="144" w:line="240" w:lineRule="auto"/>
              <w:jc w:val="center"/>
              <w:outlineLvl w:val="0"/>
              <w:rPr>
                <w:rFonts w:asciiTheme="minorBidi" w:hAnsiTheme="minorBidi" w:cstheme="minorBidi"/>
                <w:b/>
                <w:bCs/>
                <w:sz w:val="22"/>
                <w:lang w:val="en-GB"/>
              </w:rPr>
            </w:pPr>
            <w:r w:rsidRPr="008E2AC7">
              <w:rPr>
                <w:rFonts w:ascii="Arial" w:hAnsi="Arial"/>
                <w:b/>
                <w:bCs/>
                <w:sz w:val="22"/>
              </w:rPr>
              <w:t>OUI/NON</w:t>
            </w:r>
          </w:p>
        </w:tc>
        <w:tc>
          <w:tcPr>
            <w:tcW w:w="0" w:type="auto"/>
            <w:tcBorders>
              <w:top w:val="double" w:sz="4" w:space="0" w:color="auto"/>
              <w:bottom w:val="double" w:sz="4" w:space="0" w:color="auto"/>
              <w:right w:val="double" w:sz="4" w:space="0" w:color="auto"/>
            </w:tcBorders>
          </w:tcPr>
          <w:p w:rsidR="006C6CD4" w:rsidRPr="008E2AC7" w:rsidRDefault="006C6CD4" w:rsidP="00474C01">
            <w:pPr>
              <w:spacing w:before="60" w:afterLines="60" w:after="144" w:line="240" w:lineRule="auto"/>
              <w:jc w:val="center"/>
              <w:outlineLvl w:val="0"/>
              <w:rPr>
                <w:rFonts w:asciiTheme="minorBidi" w:hAnsiTheme="minorBidi" w:cstheme="minorBidi"/>
                <w:b/>
                <w:bCs/>
                <w:sz w:val="22"/>
                <w:lang w:val="fr-BE"/>
              </w:rPr>
            </w:pPr>
            <w:r w:rsidRPr="008E2AC7">
              <w:rPr>
                <w:rFonts w:ascii="Arial" w:hAnsi="Arial"/>
                <w:b/>
                <w:bCs/>
                <w:sz w:val="22"/>
                <w:lang w:val="fr-BE"/>
              </w:rPr>
              <w:t>N° DE PAGE DANS L'OFFRE</w:t>
            </w:r>
          </w:p>
        </w:tc>
      </w:tr>
      <w:tr w:rsidR="006C6CD4" w:rsidRPr="00910726" w:rsidTr="0008237E">
        <w:trPr>
          <w:cantSplit/>
          <w:trHeight w:val="18"/>
        </w:trPr>
        <w:tc>
          <w:tcPr>
            <w:tcW w:w="0" w:type="auto"/>
            <w:vAlign w:val="center"/>
          </w:tcPr>
          <w:p w:rsidR="006C6CD4" w:rsidRPr="00CB314E" w:rsidRDefault="006C6CD4" w:rsidP="00474C01">
            <w:pPr>
              <w:tabs>
                <w:tab w:val="left" w:pos="273"/>
              </w:tabs>
              <w:spacing w:before="60" w:afterLines="60" w:after="144" w:line="240" w:lineRule="auto"/>
              <w:jc w:val="center"/>
              <w:rPr>
                <w:rFonts w:asciiTheme="minorBidi" w:hAnsiTheme="minorBidi" w:cstheme="minorBidi"/>
                <w:szCs w:val="24"/>
                <w:lang w:val="fr-BE"/>
              </w:rPr>
            </w:pPr>
            <w:r w:rsidRPr="00CB314E">
              <w:rPr>
                <w:rFonts w:ascii="Arial" w:hAnsi="Arial"/>
                <w:sz w:val="22"/>
                <w:lang w:val="fr-FR"/>
              </w:rPr>
              <w:t xml:space="preserve">Point </w:t>
            </w:r>
            <w:r w:rsidR="0039346D">
              <w:rPr>
                <w:rFonts w:ascii="Arial" w:hAnsi="Arial"/>
                <w:sz w:val="22"/>
                <w:lang w:val="fr-FR"/>
              </w:rPr>
              <w:t>I</w:t>
            </w:r>
            <w:r w:rsidRPr="00483A21">
              <w:rPr>
                <w:rFonts w:ascii="Arial" w:hAnsi="Arial"/>
                <w:sz w:val="22"/>
                <w:lang w:val="fr-FR"/>
              </w:rPr>
              <w:t>.</w:t>
            </w:r>
          </w:p>
        </w:tc>
        <w:tc>
          <w:tcPr>
            <w:tcW w:w="11326" w:type="dxa"/>
            <w:shd w:val="clear" w:color="auto" w:fill="auto"/>
          </w:tcPr>
          <w:p w:rsidR="006C6CD4" w:rsidRPr="00280404" w:rsidRDefault="00FB60A8" w:rsidP="00BA1100">
            <w:pPr>
              <w:spacing w:before="120" w:after="120" w:line="276" w:lineRule="auto"/>
              <w:jc w:val="both"/>
              <w:rPr>
                <w:rFonts w:asciiTheme="minorBidi" w:hAnsiTheme="minorBidi" w:cstheme="minorBidi"/>
                <w:iCs/>
                <w:noProof/>
                <w:color w:val="FF0000"/>
                <w:sz w:val="22"/>
                <w:lang w:val="fr-FR"/>
              </w:rPr>
            </w:pPr>
            <w:r w:rsidRPr="00DE5A61">
              <w:rPr>
                <w:rFonts w:asciiTheme="minorBidi" w:hAnsiTheme="minorBidi" w:cstheme="minorBidi"/>
                <w:iCs/>
                <w:noProof/>
                <w:sz w:val="22"/>
                <w:lang w:val="fr-FR"/>
              </w:rPr>
              <w:t>Le soumissionnaire est un</w:t>
            </w:r>
            <w:r w:rsidR="00DE5A61" w:rsidRPr="00DE5A61">
              <w:rPr>
                <w:rFonts w:asciiTheme="minorBidi" w:hAnsiTheme="minorBidi" w:cstheme="minorBidi"/>
                <w:iCs/>
                <w:noProof/>
                <w:sz w:val="22"/>
                <w:lang w:val="fr-FR"/>
              </w:rPr>
              <w:t xml:space="preserve"> fournisseur d’internet et VPN</w:t>
            </w:r>
            <w:r w:rsidR="00D064DD" w:rsidRPr="00DE5A61">
              <w:rPr>
                <w:rFonts w:asciiTheme="minorBidi" w:hAnsiTheme="minorBidi" w:cstheme="minorBidi"/>
                <w:iCs/>
                <w:noProof/>
                <w:sz w:val="22"/>
                <w:lang w:val="fr-FR"/>
              </w:rPr>
              <w:t xml:space="preserve"> habilité pour exercer au Mali</w:t>
            </w:r>
          </w:p>
        </w:tc>
        <w:tc>
          <w:tcPr>
            <w:tcW w:w="1202" w:type="dxa"/>
            <w:vAlign w:val="center"/>
          </w:tcPr>
          <w:p w:rsidR="006C6CD4" w:rsidRPr="00910726" w:rsidRDefault="006C6CD4" w:rsidP="00474C01">
            <w:pPr>
              <w:spacing w:before="60" w:afterLines="60" w:after="144" w:line="240" w:lineRule="auto"/>
              <w:jc w:val="center"/>
              <w:outlineLvl w:val="0"/>
              <w:rPr>
                <w:rFonts w:asciiTheme="majorBidi" w:hAnsiTheme="majorBidi" w:cstheme="majorBidi"/>
                <w:szCs w:val="24"/>
                <w:lang w:val="en-GB"/>
              </w:rPr>
            </w:pPr>
            <w:r>
              <w:rPr>
                <w:rFonts w:asciiTheme="majorBidi" w:hAnsiTheme="majorBidi" w:cstheme="majorBidi"/>
                <w:szCs w:val="24"/>
                <w:lang w:val="en-GB"/>
              </w:rPr>
              <w:t>…</w:t>
            </w:r>
          </w:p>
        </w:tc>
        <w:tc>
          <w:tcPr>
            <w:tcW w:w="0" w:type="auto"/>
            <w:shd w:val="clear" w:color="auto" w:fill="808080" w:themeFill="background1" w:themeFillShade="80"/>
          </w:tcPr>
          <w:p w:rsidR="006C6CD4" w:rsidRPr="00910726" w:rsidRDefault="006C6CD4" w:rsidP="00474C01">
            <w:pPr>
              <w:spacing w:before="60" w:afterLines="60" w:after="144" w:line="240" w:lineRule="auto"/>
              <w:jc w:val="center"/>
              <w:outlineLvl w:val="0"/>
              <w:rPr>
                <w:rFonts w:asciiTheme="majorBidi" w:hAnsiTheme="majorBidi" w:cstheme="majorBidi"/>
                <w:szCs w:val="24"/>
                <w:lang w:val="en-GB"/>
              </w:rPr>
            </w:pPr>
          </w:p>
        </w:tc>
      </w:tr>
      <w:tr w:rsidR="006C6CD4" w:rsidRPr="00E92CD5" w:rsidTr="0008237E">
        <w:trPr>
          <w:cantSplit/>
          <w:trHeight w:val="18"/>
        </w:trPr>
        <w:tc>
          <w:tcPr>
            <w:tcW w:w="0" w:type="auto"/>
            <w:vAlign w:val="center"/>
          </w:tcPr>
          <w:p w:rsidR="006C6CD4" w:rsidRPr="00CB314E" w:rsidRDefault="00D31604" w:rsidP="00474C01">
            <w:pPr>
              <w:tabs>
                <w:tab w:val="left" w:pos="273"/>
              </w:tabs>
              <w:spacing w:before="60" w:afterLines="60" w:after="144" w:line="240" w:lineRule="auto"/>
              <w:jc w:val="center"/>
              <w:rPr>
                <w:rFonts w:ascii="Arial" w:hAnsi="Arial"/>
                <w:sz w:val="22"/>
                <w:lang w:val="fr-FR"/>
              </w:rPr>
            </w:pPr>
            <w:r w:rsidRPr="00CB314E">
              <w:rPr>
                <w:rFonts w:ascii="Arial" w:hAnsi="Arial"/>
                <w:sz w:val="22"/>
                <w:lang w:val="fr-FR"/>
              </w:rPr>
              <w:t xml:space="preserve">Point </w:t>
            </w:r>
            <w:r w:rsidR="00FB60A8">
              <w:rPr>
                <w:rFonts w:ascii="Arial" w:hAnsi="Arial"/>
                <w:sz w:val="22"/>
                <w:lang w:val="fr-FR"/>
              </w:rPr>
              <w:t>II</w:t>
            </w:r>
            <w:r w:rsidRPr="00483A21">
              <w:rPr>
                <w:rFonts w:ascii="Arial" w:hAnsi="Arial"/>
                <w:sz w:val="22"/>
                <w:lang w:val="fr-FR"/>
              </w:rPr>
              <w:t>.</w:t>
            </w:r>
          </w:p>
        </w:tc>
        <w:tc>
          <w:tcPr>
            <w:tcW w:w="11326" w:type="dxa"/>
            <w:shd w:val="clear" w:color="auto" w:fill="auto"/>
          </w:tcPr>
          <w:p w:rsidR="006C6CD4" w:rsidRPr="00280404" w:rsidRDefault="00FB60A8" w:rsidP="00DE5A61">
            <w:pPr>
              <w:spacing w:before="120" w:after="120" w:line="276" w:lineRule="auto"/>
              <w:jc w:val="both"/>
              <w:rPr>
                <w:rFonts w:ascii="Arial" w:hAnsi="Arial"/>
                <w:bCs/>
                <w:color w:val="FF0000"/>
                <w:sz w:val="22"/>
                <w:lang w:val="fr-BE"/>
              </w:rPr>
            </w:pPr>
            <w:r w:rsidRPr="00DE5A61">
              <w:rPr>
                <w:rFonts w:asciiTheme="minorBidi" w:hAnsiTheme="minorBidi" w:cstheme="minorBidi"/>
                <w:iCs/>
                <w:noProof/>
                <w:sz w:val="22"/>
                <w:lang w:val="fr-BE"/>
              </w:rPr>
              <w:t>L</w:t>
            </w:r>
            <w:r w:rsidRPr="00DE5A61">
              <w:rPr>
                <w:rFonts w:asciiTheme="minorBidi" w:hAnsiTheme="minorBidi" w:cstheme="minorBidi"/>
                <w:iCs/>
                <w:noProof/>
                <w:sz w:val="22"/>
                <w:lang w:val="fr-FR"/>
              </w:rPr>
              <w:t xml:space="preserve">e </w:t>
            </w:r>
            <w:r w:rsidR="00524485" w:rsidRPr="00DE5A61">
              <w:rPr>
                <w:rFonts w:asciiTheme="minorBidi" w:hAnsiTheme="minorBidi" w:cstheme="minorBidi"/>
                <w:iCs/>
                <w:noProof/>
                <w:sz w:val="22"/>
                <w:lang w:val="fr-FR"/>
              </w:rPr>
              <w:t>soumissionnaire</w:t>
            </w:r>
            <w:r w:rsidRPr="00DE5A61">
              <w:rPr>
                <w:rFonts w:asciiTheme="minorBidi" w:hAnsiTheme="minorBidi" w:cstheme="minorBidi"/>
                <w:iCs/>
                <w:noProof/>
                <w:sz w:val="22"/>
                <w:lang w:val="fr-FR"/>
              </w:rPr>
              <w:t xml:space="preserve"> dispose des ressources matérielles et humaines pour fournir </w:t>
            </w:r>
            <w:r w:rsidR="00DE5A61" w:rsidRPr="00DE5A61">
              <w:rPr>
                <w:rFonts w:asciiTheme="minorBidi" w:hAnsiTheme="minorBidi" w:cstheme="minorBidi"/>
                <w:iCs/>
                <w:noProof/>
                <w:sz w:val="22"/>
                <w:lang w:val="fr-FR"/>
              </w:rPr>
              <w:t xml:space="preserve">de l’internet et VPN </w:t>
            </w:r>
            <w:r w:rsidRPr="00DE5A61">
              <w:rPr>
                <w:rFonts w:asciiTheme="minorBidi" w:hAnsiTheme="minorBidi" w:cstheme="minorBidi"/>
                <w:iCs/>
                <w:noProof/>
                <w:sz w:val="22"/>
                <w:lang w:val="fr-FR"/>
              </w:rPr>
              <w:t>au Mali</w:t>
            </w:r>
          </w:p>
        </w:tc>
        <w:tc>
          <w:tcPr>
            <w:tcW w:w="1202" w:type="dxa"/>
            <w:vAlign w:val="center"/>
          </w:tcPr>
          <w:p w:rsidR="006C6CD4" w:rsidRPr="006C6CD4" w:rsidRDefault="006C6CD4" w:rsidP="00474C01">
            <w:pPr>
              <w:spacing w:before="60" w:afterLines="60" w:after="144" w:line="240" w:lineRule="auto"/>
              <w:jc w:val="center"/>
              <w:outlineLvl w:val="0"/>
              <w:rPr>
                <w:rFonts w:asciiTheme="majorBidi" w:hAnsiTheme="majorBidi" w:cstheme="majorBidi"/>
                <w:szCs w:val="24"/>
                <w:lang w:val="fr-BE"/>
              </w:rPr>
            </w:pPr>
          </w:p>
        </w:tc>
        <w:tc>
          <w:tcPr>
            <w:tcW w:w="0" w:type="auto"/>
            <w:shd w:val="clear" w:color="auto" w:fill="808080" w:themeFill="background1" w:themeFillShade="80"/>
          </w:tcPr>
          <w:p w:rsidR="006C6CD4" w:rsidRPr="006C6CD4" w:rsidRDefault="006C6CD4" w:rsidP="00474C01">
            <w:pPr>
              <w:spacing w:before="60" w:afterLines="60" w:after="144" w:line="240" w:lineRule="auto"/>
              <w:jc w:val="center"/>
              <w:outlineLvl w:val="0"/>
              <w:rPr>
                <w:rFonts w:asciiTheme="majorBidi" w:hAnsiTheme="majorBidi" w:cstheme="majorBidi"/>
                <w:szCs w:val="24"/>
                <w:lang w:val="fr-BE"/>
              </w:rPr>
            </w:pPr>
          </w:p>
        </w:tc>
      </w:tr>
      <w:tr w:rsidR="006C6CD4" w:rsidRPr="00E92CD5" w:rsidTr="0008237E">
        <w:trPr>
          <w:cantSplit/>
          <w:trHeight w:val="18"/>
        </w:trPr>
        <w:tc>
          <w:tcPr>
            <w:tcW w:w="0" w:type="auto"/>
            <w:vAlign w:val="center"/>
          </w:tcPr>
          <w:p w:rsidR="006C6CD4" w:rsidRPr="00D31604" w:rsidRDefault="00FB60A8" w:rsidP="00D31604">
            <w:pPr>
              <w:tabs>
                <w:tab w:val="left" w:pos="273"/>
              </w:tabs>
              <w:spacing w:before="60" w:afterLines="60" w:after="144" w:line="240" w:lineRule="auto"/>
              <w:jc w:val="center"/>
              <w:rPr>
                <w:rFonts w:asciiTheme="minorBidi" w:hAnsiTheme="minorBidi" w:cstheme="minorBidi"/>
                <w:b/>
                <w:bCs/>
                <w:szCs w:val="24"/>
              </w:rPr>
            </w:pPr>
            <w:r>
              <w:rPr>
                <w:rFonts w:ascii="Arial" w:hAnsi="Arial"/>
                <w:sz w:val="22"/>
                <w:lang w:val="fr-FR"/>
              </w:rPr>
              <w:t>Point III</w:t>
            </w:r>
            <w:r w:rsidR="006C6CD4" w:rsidRPr="00D31604">
              <w:rPr>
                <w:rFonts w:ascii="Arial" w:hAnsi="Arial"/>
                <w:sz w:val="22"/>
                <w:lang w:val="fr-FR"/>
              </w:rPr>
              <w:t>.</w:t>
            </w:r>
          </w:p>
        </w:tc>
        <w:tc>
          <w:tcPr>
            <w:tcW w:w="11326" w:type="dxa"/>
            <w:shd w:val="clear" w:color="auto" w:fill="auto"/>
          </w:tcPr>
          <w:p w:rsidR="006C6CD4" w:rsidRPr="00982FC0" w:rsidRDefault="00FB60A8" w:rsidP="00982FC0">
            <w:pPr>
              <w:tabs>
                <w:tab w:val="left" w:pos="578"/>
              </w:tabs>
              <w:spacing w:before="120" w:after="120" w:line="240" w:lineRule="auto"/>
              <w:jc w:val="both"/>
              <w:rPr>
                <w:rFonts w:ascii="Arial" w:hAnsi="Arial"/>
                <w:i/>
                <w:iCs/>
                <w:sz w:val="22"/>
                <w:lang w:val="fr-BE"/>
              </w:rPr>
            </w:pPr>
            <w:r w:rsidRPr="00982FC0">
              <w:rPr>
                <w:rFonts w:ascii="Arial" w:hAnsi="Arial"/>
                <w:bCs/>
                <w:sz w:val="22"/>
                <w:lang w:val="fr-BE"/>
              </w:rPr>
              <w:t xml:space="preserve">Le </w:t>
            </w:r>
            <w:r w:rsidR="00524485" w:rsidRPr="00982FC0">
              <w:rPr>
                <w:rFonts w:asciiTheme="minorBidi" w:hAnsiTheme="minorBidi" w:cstheme="minorBidi"/>
                <w:iCs/>
                <w:noProof/>
                <w:sz w:val="22"/>
                <w:lang w:val="fr-FR"/>
              </w:rPr>
              <w:t>soumissionnaire</w:t>
            </w:r>
            <w:r w:rsidRPr="00982FC0">
              <w:rPr>
                <w:rFonts w:ascii="Arial" w:hAnsi="Arial"/>
                <w:bCs/>
                <w:sz w:val="22"/>
                <w:lang w:val="fr-BE"/>
              </w:rPr>
              <w:t xml:space="preserve"> a les moyens administratifs et techniques pour la gestion comptable, fiscale et sociale d</w:t>
            </w:r>
            <w:r w:rsidR="00982FC0">
              <w:rPr>
                <w:rFonts w:ascii="Arial" w:hAnsi="Arial"/>
                <w:bCs/>
                <w:sz w:val="22"/>
                <w:lang w:val="fr-BE"/>
              </w:rPr>
              <w:t>u contrat</w:t>
            </w:r>
          </w:p>
        </w:tc>
        <w:tc>
          <w:tcPr>
            <w:tcW w:w="1202" w:type="dxa"/>
            <w:vAlign w:val="center"/>
          </w:tcPr>
          <w:p w:rsidR="006C6CD4" w:rsidRPr="009345D6" w:rsidRDefault="006C6CD4" w:rsidP="00474C01">
            <w:pPr>
              <w:spacing w:before="60" w:afterLines="60" w:after="144" w:line="240" w:lineRule="auto"/>
              <w:jc w:val="center"/>
              <w:outlineLvl w:val="0"/>
              <w:rPr>
                <w:rFonts w:cs="Times New Roman"/>
                <w:szCs w:val="24"/>
                <w:lang w:val="fr-BE"/>
              </w:rPr>
            </w:pPr>
          </w:p>
        </w:tc>
        <w:tc>
          <w:tcPr>
            <w:tcW w:w="0" w:type="auto"/>
            <w:shd w:val="clear" w:color="auto" w:fill="808080" w:themeFill="background1" w:themeFillShade="80"/>
          </w:tcPr>
          <w:p w:rsidR="006C6CD4" w:rsidRPr="009345D6" w:rsidRDefault="006C6CD4" w:rsidP="00474C01">
            <w:pPr>
              <w:spacing w:before="60" w:afterLines="60" w:after="144" w:line="240" w:lineRule="auto"/>
              <w:jc w:val="center"/>
              <w:outlineLvl w:val="0"/>
              <w:rPr>
                <w:rFonts w:asciiTheme="majorBidi" w:hAnsiTheme="majorBidi" w:cstheme="majorBidi"/>
                <w:color w:val="808080" w:themeColor="background1" w:themeShade="80"/>
                <w:szCs w:val="24"/>
                <w:highlight w:val="darkGray"/>
                <w:lang w:val="fr-BE"/>
              </w:rPr>
            </w:pPr>
          </w:p>
        </w:tc>
      </w:tr>
      <w:tr w:rsidR="006C6CD4" w:rsidRPr="00E92CD5" w:rsidTr="0008237E">
        <w:trPr>
          <w:cantSplit/>
          <w:trHeight w:val="18"/>
        </w:trPr>
        <w:tc>
          <w:tcPr>
            <w:tcW w:w="0" w:type="auto"/>
            <w:vAlign w:val="center"/>
          </w:tcPr>
          <w:p w:rsidR="006C6CD4" w:rsidRPr="00D31604" w:rsidRDefault="006C6CD4" w:rsidP="00D31604">
            <w:pPr>
              <w:tabs>
                <w:tab w:val="left" w:pos="273"/>
              </w:tabs>
              <w:spacing w:before="60" w:afterLines="60" w:after="144" w:line="240" w:lineRule="auto"/>
              <w:jc w:val="center"/>
              <w:rPr>
                <w:rFonts w:asciiTheme="minorBidi" w:hAnsiTheme="minorBidi" w:cstheme="minorBidi"/>
                <w:b/>
                <w:bCs/>
                <w:szCs w:val="24"/>
                <w:lang w:val="fr-BE"/>
              </w:rPr>
            </w:pPr>
            <w:r w:rsidRPr="00D31604">
              <w:rPr>
                <w:rFonts w:ascii="Arial" w:hAnsi="Arial"/>
                <w:sz w:val="22"/>
                <w:lang w:val="fr-FR"/>
              </w:rPr>
              <w:t xml:space="preserve">Point </w:t>
            </w:r>
            <w:r w:rsidR="00FB60A8">
              <w:rPr>
                <w:rFonts w:ascii="Arial" w:hAnsi="Arial"/>
                <w:sz w:val="22"/>
                <w:lang w:val="fr-FR"/>
              </w:rPr>
              <w:t>I</w:t>
            </w:r>
            <w:r w:rsidRPr="00D31604">
              <w:rPr>
                <w:rFonts w:ascii="Arial" w:hAnsi="Arial"/>
                <w:sz w:val="22"/>
                <w:lang w:val="fr-FR"/>
              </w:rPr>
              <w:t>V.</w:t>
            </w:r>
          </w:p>
        </w:tc>
        <w:tc>
          <w:tcPr>
            <w:tcW w:w="11326" w:type="dxa"/>
            <w:shd w:val="clear" w:color="auto" w:fill="auto"/>
          </w:tcPr>
          <w:p w:rsidR="006C6CD4" w:rsidRPr="00982FC0" w:rsidRDefault="00FB60A8" w:rsidP="00982FC0">
            <w:pPr>
              <w:tabs>
                <w:tab w:val="left" w:pos="578"/>
              </w:tabs>
              <w:spacing w:before="120" w:after="120" w:line="240" w:lineRule="auto"/>
              <w:jc w:val="both"/>
              <w:rPr>
                <w:rFonts w:ascii="Arial" w:hAnsi="Arial"/>
                <w:i/>
                <w:iCs/>
                <w:sz w:val="22"/>
                <w:lang w:val="fr-BE"/>
              </w:rPr>
            </w:pPr>
            <w:r w:rsidRPr="00982FC0">
              <w:rPr>
                <w:rFonts w:ascii="Arial" w:hAnsi="Arial"/>
                <w:bCs/>
                <w:sz w:val="22"/>
                <w:lang w:val="fr-BE"/>
              </w:rPr>
              <w:t xml:space="preserve">Le </w:t>
            </w:r>
            <w:r w:rsidR="00524485" w:rsidRPr="00982FC0">
              <w:rPr>
                <w:rFonts w:asciiTheme="minorBidi" w:hAnsiTheme="minorBidi" w:cstheme="minorBidi"/>
                <w:iCs/>
                <w:noProof/>
                <w:sz w:val="22"/>
                <w:lang w:val="fr-FR"/>
              </w:rPr>
              <w:t>soumissionnaire</w:t>
            </w:r>
            <w:r w:rsidRPr="00982FC0">
              <w:rPr>
                <w:rFonts w:ascii="Arial" w:hAnsi="Arial"/>
                <w:bCs/>
                <w:sz w:val="22"/>
                <w:lang w:val="fr-BE"/>
              </w:rPr>
              <w:t xml:space="preserve"> </w:t>
            </w:r>
            <w:r w:rsidR="00524485" w:rsidRPr="00982FC0">
              <w:rPr>
                <w:rFonts w:ascii="Arial" w:hAnsi="Arial"/>
                <w:bCs/>
                <w:sz w:val="22"/>
                <w:lang w:val="fr-BE"/>
              </w:rPr>
              <w:t>est en mesure de fournir</w:t>
            </w:r>
            <w:r w:rsidRPr="00982FC0">
              <w:rPr>
                <w:rFonts w:ascii="Arial" w:hAnsi="Arial"/>
                <w:bCs/>
                <w:sz w:val="22"/>
                <w:lang w:val="fr-BE"/>
              </w:rPr>
              <w:t xml:space="preserve"> </w:t>
            </w:r>
            <w:r w:rsidR="00510E28" w:rsidRPr="00982FC0">
              <w:rPr>
                <w:rFonts w:ascii="Arial" w:hAnsi="Arial"/>
                <w:bCs/>
                <w:sz w:val="22"/>
                <w:lang w:val="fr-BE"/>
              </w:rPr>
              <w:t xml:space="preserve">les </w:t>
            </w:r>
            <w:r w:rsidR="00982FC0" w:rsidRPr="00982FC0">
              <w:rPr>
                <w:rFonts w:ascii="Arial" w:hAnsi="Arial"/>
                <w:bCs/>
                <w:sz w:val="22"/>
                <w:lang w:val="fr-BE"/>
              </w:rPr>
              <w:t>prestations minima</w:t>
            </w:r>
            <w:r w:rsidR="00510E28" w:rsidRPr="00982FC0">
              <w:rPr>
                <w:rFonts w:ascii="Arial" w:hAnsi="Arial"/>
                <w:bCs/>
                <w:sz w:val="22"/>
                <w:lang w:val="fr-BE"/>
              </w:rPr>
              <w:t xml:space="preserve"> </w:t>
            </w:r>
            <w:r w:rsidR="00564A3D">
              <w:rPr>
                <w:rFonts w:ascii="Arial" w:hAnsi="Arial"/>
                <w:bCs/>
                <w:sz w:val="22"/>
                <w:lang w:val="fr-BE"/>
              </w:rPr>
              <w:t xml:space="preserve">de débit </w:t>
            </w:r>
            <w:r w:rsidR="00510E28" w:rsidRPr="00982FC0">
              <w:rPr>
                <w:rFonts w:ascii="Arial" w:hAnsi="Arial"/>
                <w:bCs/>
                <w:sz w:val="22"/>
                <w:lang w:val="fr-BE"/>
              </w:rPr>
              <w:t xml:space="preserve">d’internet </w:t>
            </w:r>
            <w:r w:rsidR="00D064DD" w:rsidRPr="00982FC0">
              <w:rPr>
                <w:rFonts w:ascii="Arial" w:hAnsi="Arial"/>
                <w:bCs/>
                <w:sz w:val="22"/>
                <w:lang w:val="fr-BE"/>
              </w:rPr>
              <w:t>défini</w:t>
            </w:r>
            <w:r w:rsidR="00982FC0" w:rsidRPr="00982FC0">
              <w:rPr>
                <w:rFonts w:ascii="Arial" w:hAnsi="Arial"/>
                <w:bCs/>
                <w:sz w:val="22"/>
                <w:lang w:val="fr-BE"/>
              </w:rPr>
              <w:t>e</w:t>
            </w:r>
            <w:r w:rsidR="00D064DD" w:rsidRPr="00982FC0">
              <w:rPr>
                <w:rFonts w:ascii="Arial" w:hAnsi="Arial"/>
                <w:bCs/>
                <w:sz w:val="22"/>
                <w:lang w:val="fr-BE"/>
              </w:rPr>
              <w:t>s dans le Cahier de clauses techniques particulières</w:t>
            </w:r>
            <w:r w:rsidR="00982FC0" w:rsidRPr="00982FC0">
              <w:rPr>
                <w:rFonts w:ascii="Arial" w:hAnsi="Arial"/>
                <w:bCs/>
                <w:sz w:val="22"/>
                <w:lang w:val="fr-BE"/>
              </w:rPr>
              <w:t xml:space="preserve"> pour les différents sites</w:t>
            </w:r>
          </w:p>
        </w:tc>
        <w:tc>
          <w:tcPr>
            <w:tcW w:w="1202" w:type="dxa"/>
            <w:vAlign w:val="center"/>
          </w:tcPr>
          <w:p w:rsidR="006C6CD4" w:rsidRPr="009345D6" w:rsidRDefault="006C6CD4" w:rsidP="00474C01">
            <w:pPr>
              <w:spacing w:before="60" w:afterLines="60" w:after="144" w:line="240" w:lineRule="auto"/>
              <w:jc w:val="center"/>
              <w:outlineLvl w:val="0"/>
              <w:rPr>
                <w:rFonts w:cs="Times New Roman"/>
                <w:szCs w:val="24"/>
                <w:lang w:val="fr-BE"/>
              </w:rPr>
            </w:pPr>
          </w:p>
        </w:tc>
        <w:tc>
          <w:tcPr>
            <w:tcW w:w="0" w:type="auto"/>
            <w:shd w:val="clear" w:color="auto" w:fill="808080" w:themeFill="background1" w:themeFillShade="80"/>
          </w:tcPr>
          <w:p w:rsidR="006C6CD4" w:rsidRPr="009345D6" w:rsidRDefault="006C6CD4" w:rsidP="00474C01">
            <w:pPr>
              <w:spacing w:before="60" w:afterLines="60" w:after="144" w:line="240" w:lineRule="auto"/>
              <w:jc w:val="center"/>
              <w:outlineLvl w:val="0"/>
              <w:rPr>
                <w:rFonts w:asciiTheme="majorBidi" w:hAnsiTheme="majorBidi" w:cstheme="majorBidi"/>
                <w:color w:val="808080" w:themeColor="background1" w:themeShade="80"/>
                <w:szCs w:val="24"/>
                <w:highlight w:val="darkGray"/>
                <w:lang w:val="fr-BE"/>
              </w:rPr>
            </w:pPr>
          </w:p>
        </w:tc>
      </w:tr>
      <w:tr w:rsidR="00982FC0" w:rsidRPr="00E92CD5" w:rsidTr="004F69A2">
        <w:trPr>
          <w:cantSplit/>
          <w:trHeight w:val="18"/>
        </w:trPr>
        <w:tc>
          <w:tcPr>
            <w:tcW w:w="0" w:type="auto"/>
            <w:vAlign w:val="center"/>
          </w:tcPr>
          <w:p w:rsidR="00982FC0" w:rsidRPr="00D31604" w:rsidRDefault="00982FC0" w:rsidP="00982FC0">
            <w:pPr>
              <w:tabs>
                <w:tab w:val="left" w:pos="273"/>
              </w:tabs>
              <w:spacing w:before="60" w:afterLines="60" w:after="144" w:line="240" w:lineRule="auto"/>
              <w:jc w:val="center"/>
              <w:rPr>
                <w:rFonts w:asciiTheme="minorBidi" w:hAnsiTheme="minorBidi" w:cstheme="minorBidi"/>
                <w:b/>
                <w:bCs/>
                <w:szCs w:val="24"/>
                <w:lang w:val="fr-BE"/>
              </w:rPr>
            </w:pPr>
            <w:r w:rsidRPr="00D31604">
              <w:rPr>
                <w:rFonts w:ascii="Arial" w:hAnsi="Arial"/>
                <w:sz w:val="22"/>
                <w:lang w:val="fr-FR"/>
              </w:rPr>
              <w:t>Point V.</w:t>
            </w:r>
          </w:p>
        </w:tc>
        <w:tc>
          <w:tcPr>
            <w:tcW w:w="11326" w:type="dxa"/>
            <w:shd w:val="clear" w:color="auto" w:fill="auto"/>
          </w:tcPr>
          <w:p w:rsidR="00982FC0" w:rsidRPr="00982FC0" w:rsidRDefault="00982FC0" w:rsidP="00982FC0">
            <w:pPr>
              <w:tabs>
                <w:tab w:val="left" w:pos="578"/>
              </w:tabs>
              <w:spacing w:before="120" w:after="120" w:line="240" w:lineRule="auto"/>
              <w:jc w:val="both"/>
              <w:rPr>
                <w:rFonts w:ascii="Arial" w:hAnsi="Arial"/>
                <w:i/>
                <w:iCs/>
                <w:sz w:val="22"/>
                <w:lang w:val="fr-BE"/>
              </w:rPr>
            </w:pPr>
            <w:r w:rsidRPr="00982FC0">
              <w:rPr>
                <w:rFonts w:ascii="Arial" w:hAnsi="Arial"/>
                <w:bCs/>
                <w:sz w:val="22"/>
                <w:lang w:val="fr-BE"/>
              </w:rPr>
              <w:t xml:space="preserve">Le </w:t>
            </w:r>
            <w:r w:rsidRPr="00982FC0">
              <w:rPr>
                <w:rFonts w:asciiTheme="minorBidi" w:hAnsiTheme="minorBidi" w:cstheme="minorBidi"/>
                <w:iCs/>
                <w:noProof/>
                <w:sz w:val="22"/>
                <w:lang w:val="fr-FR"/>
              </w:rPr>
              <w:t>soumissionnaire</w:t>
            </w:r>
            <w:r w:rsidRPr="00982FC0">
              <w:rPr>
                <w:rFonts w:ascii="Arial" w:hAnsi="Arial"/>
                <w:bCs/>
                <w:sz w:val="22"/>
                <w:lang w:val="fr-BE"/>
              </w:rPr>
              <w:t xml:space="preserve"> est en mesure de fournir les prestations minima de </w:t>
            </w:r>
            <w:r w:rsidR="00564A3D">
              <w:rPr>
                <w:rFonts w:ascii="Arial" w:hAnsi="Arial"/>
                <w:bCs/>
                <w:sz w:val="22"/>
                <w:lang w:val="fr-BE"/>
              </w:rPr>
              <w:t xml:space="preserve">débit de </w:t>
            </w:r>
            <w:r w:rsidRPr="00982FC0">
              <w:rPr>
                <w:rFonts w:ascii="Arial" w:hAnsi="Arial"/>
                <w:bCs/>
                <w:sz w:val="22"/>
                <w:lang w:val="fr-BE"/>
              </w:rPr>
              <w:t>VPN définies dans le Cahier de clauses techniques particulières pour les différents sites</w:t>
            </w:r>
          </w:p>
        </w:tc>
        <w:tc>
          <w:tcPr>
            <w:tcW w:w="1202" w:type="dxa"/>
            <w:vAlign w:val="center"/>
          </w:tcPr>
          <w:p w:rsidR="00982FC0" w:rsidRPr="009345D6" w:rsidRDefault="00982FC0" w:rsidP="00982FC0">
            <w:pPr>
              <w:spacing w:before="60" w:afterLines="60" w:after="144" w:line="240" w:lineRule="auto"/>
              <w:jc w:val="center"/>
              <w:outlineLvl w:val="0"/>
              <w:rPr>
                <w:rFonts w:cs="Times New Roman"/>
                <w:szCs w:val="24"/>
                <w:lang w:val="fr-BE"/>
              </w:rPr>
            </w:pPr>
          </w:p>
        </w:tc>
        <w:tc>
          <w:tcPr>
            <w:tcW w:w="0" w:type="auto"/>
            <w:shd w:val="clear" w:color="auto" w:fill="808080" w:themeFill="background1" w:themeFillShade="80"/>
          </w:tcPr>
          <w:p w:rsidR="00982FC0" w:rsidRPr="009345D6" w:rsidRDefault="00982FC0" w:rsidP="00982FC0">
            <w:pPr>
              <w:spacing w:before="60" w:afterLines="60" w:after="144" w:line="240" w:lineRule="auto"/>
              <w:jc w:val="center"/>
              <w:outlineLvl w:val="0"/>
              <w:rPr>
                <w:rFonts w:asciiTheme="majorBidi" w:hAnsiTheme="majorBidi" w:cstheme="majorBidi"/>
                <w:color w:val="808080" w:themeColor="background1" w:themeShade="80"/>
                <w:szCs w:val="24"/>
                <w:highlight w:val="darkGray"/>
                <w:lang w:val="fr-BE"/>
              </w:rPr>
            </w:pPr>
          </w:p>
        </w:tc>
      </w:tr>
      <w:tr w:rsidR="004F69A2" w:rsidRPr="00E92CD5" w:rsidTr="004F69A2">
        <w:trPr>
          <w:cantSplit/>
          <w:trHeight w:val="18"/>
        </w:trPr>
        <w:tc>
          <w:tcPr>
            <w:tcW w:w="0" w:type="auto"/>
            <w:vAlign w:val="center"/>
          </w:tcPr>
          <w:p w:rsidR="004F69A2" w:rsidRPr="00D31604" w:rsidRDefault="004F69A2" w:rsidP="00982FC0">
            <w:pPr>
              <w:tabs>
                <w:tab w:val="left" w:pos="273"/>
              </w:tabs>
              <w:spacing w:before="60" w:afterLines="60" w:after="144" w:line="240" w:lineRule="auto"/>
              <w:jc w:val="center"/>
              <w:rPr>
                <w:rFonts w:ascii="Arial" w:hAnsi="Arial"/>
                <w:sz w:val="22"/>
                <w:lang w:val="fr-FR"/>
              </w:rPr>
            </w:pPr>
            <w:r w:rsidRPr="00D31604">
              <w:rPr>
                <w:rFonts w:ascii="Arial" w:hAnsi="Arial"/>
                <w:sz w:val="22"/>
                <w:lang w:val="fr-FR"/>
              </w:rPr>
              <w:t>Point V</w:t>
            </w:r>
            <w:r>
              <w:rPr>
                <w:rFonts w:ascii="Arial" w:hAnsi="Arial"/>
                <w:sz w:val="22"/>
                <w:lang w:val="fr-FR"/>
              </w:rPr>
              <w:t>I</w:t>
            </w:r>
            <w:r w:rsidRPr="00D31604">
              <w:rPr>
                <w:rFonts w:ascii="Arial" w:hAnsi="Arial"/>
                <w:sz w:val="22"/>
                <w:lang w:val="fr-FR"/>
              </w:rPr>
              <w:t>.</w:t>
            </w:r>
          </w:p>
        </w:tc>
        <w:tc>
          <w:tcPr>
            <w:tcW w:w="11326" w:type="dxa"/>
            <w:shd w:val="clear" w:color="auto" w:fill="auto"/>
          </w:tcPr>
          <w:p w:rsidR="004F69A2" w:rsidRPr="00982FC0" w:rsidRDefault="00F4467F" w:rsidP="00F4467F">
            <w:pPr>
              <w:tabs>
                <w:tab w:val="left" w:pos="578"/>
              </w:tabs>
              <w:spacing w:before="120" w:after="120" w:line="240" w:lineRule="auto"/>
              <w:jc w:val="both"/>
              <w:rPr>
                <w:rFonts w:ascii="Arial" w:hAnsi="Arial"/>
                <w:bCs/>
                <w:sz w:val="22"/>
                <w:lang w:val="fr-BE"/>
              </w:rPr>
            </w:pPr>
            <w:r w:rsidRPr="00DE5A61">
              <w:rPr>
                <w:rFonts w:asciiTheme="minorBidi" w:hAnsiTheme="minorBidi" w:cstheme="minorBidi"/>
                <w:iCs/>
                <w:noProof/>
                <w:sz w:val="22"/>
                <w:lang w:val="fr-BE"/>
              </w:rPr>
              <w:t>L</w:t>
            </w:r>
            <w:r w:rsidRPr="00DE5A61">
              <w:rPr>
                <w:rFonts w:asciiTheme="minorBidi" w:hAnsiTheme="minorBidi" w:cstheme="minorBidi"/>
                <w:iCs/>
                <w:noProof/>
                <w:sz w:val="22"/>
                <w:lang w:val="fr-FR"/>
              </w:rPr>
              <w:t xml:space="preserve">e soumissionnaire dispose des ressources matérielles et humaines </w:t>
            </w:r>
            <w:r>
              <w:rPr>
                <w:rFonts w:asciiTheme="minorBidi" w:hAnsiTheme="minorBidi" w:cstheme="minorBidi"/>
                <w:iCs/>
                <w:noProof/>
                <w:sz w:val="22"/>
                <w:lang w:val="fr-FR"/>
              </w:rPr>
              <w:t xml:space="preserve">pour fournir </w:t>
            </w:r>
            <w:r>
              <w:rPr>
                <w:rFonts w:ascii="Arial" w:hAnsi="Arial"/>
                <w:bCs/>
                <w:sz w:val="22"/>
                <w:lang w:val="fr-BE"/>
              </w:rPr>
              <w:t>les temps</w:t>
            </w:r>
            <w:r w:rsidRPr="00982FC0">
              <w:rPr>
                <w:rFonts w:ascii="Arial" w:hAnsi="Arial"/>
                <w:bCs/>
                <w:sz w:val="22"/>
                <w:lang w:val="fr-BE"/>
              </w:rPr>
              <w:t xml:space="preserve"> m</w:t>
            </w:r>
            <w:r>
              <w:rPr>
                <w:rFonts w:ascii="Arial" w:hAnsi="Arial"/>
                <w:bCs/>
                <w:sz w:val="22"/>
                <w:lang w:val="fr-BE"/>
              </w:rPr>
              <w:t>ax</w:t>
            </w:r>
            <w:r w:rsidRPr="00982FC0">
              <w:rPr>
                <w:rFonts w:ascii="Arial" w:hAnsi="Arial"/>
                <w:bCs/>
                <w:sz w:val="22"/>
                <w:lang w:val="fr-BE"/>
              </w:rPr>
              <w:t xml:space="preserve">ima de </w:t>
            </w:r>
            <w:r>
              <w:rPr>
                <w:rFonts w:ascii="Arial" w:hAnsi="Arial"/>
                <w:bCs/>
                <w:sz w:val="22"/>
                <w:lang w:val="fr-BE"/>
              </w:rPr>
              <w:t>GTI défini</w:t>
            </w:r>
            <w:r w:rsidRPr="00982FC0">
              <w:rPr>
                <w:rFonts w:ascii="Arial" w:hAnsi="Arial"/>
                <w:bCs/>
                <w:sz w:val="22"/>
                <w:lang w:val="fr-BE"/>
              </w:rPr>
              <w:t>s dans le Cahier de clauses techniques particulières pour les différents sites</w:t>
            </w:r>
          </w:p>
        </w:tc>
        <w:tc>
          <w:tcPr>
            <w:tcW w:w="1202" w:type="dxa"/>
            <w:vAlign w:val="center"/>
          </w:tcPr>
          <w:p w:rsidR="004F69A2" w:rsidRPr="009345D6" w:rsidRDefault="004F69A2" w:rsidP="00982FC0">
            <w:pPr>
              <w:spacing w:before="60" w:afterLines="60" w:after="144" w:line="240" w:lineRule="auto"/>
              <w:jc w:val="center"/>
              <w:outlineLvl w:val="0"/>
              <w:rPr>
                <w:rFonts w:cs="Times New Roman"/>
                <w:szCs w:val="24"/>
                <w:lang w:val="fr-BE"/>
              </w:rPr>
            </w:pPr>
          </w:p>
        </w:tc>
        <w:tc>
          <w:tcPr>
            <w:tcW w:w="0" w:type="auto"/>
            <w:shd w:val="clear" w:color="auto" w:fill="808080" w:themeFill="background1" w:themeFillShade="80"/>
          </w:tcPr>
          <w:p w:rsidR="004F69A2" w:rsidRPr="009345D6" w:rsidRDefault="004F69A2" w:rsidP="00982FC0">
            <w:pPr>
              <w:spacing w:before="60" w:afterLines="60" w:after="144" w:line="240" w:lineRule="auto"/>
              <w:jc w:val="center"/>
              <w:outlineLvl w:val="0"/>
              <w:rPr>
                <w:rFonts w:asciiTheme="majorBidi" w:hAnsiTheme="majorBidi" w:cstheme="majorBidi"/>
                <w:color w:val="808080" w:themeColor="background1" w:themeShade="80"/>
                <w:szCs w:val="24"/>
                <w:highlight w:val="darkGray"/>
                <w:lang w:val="fr-BE"/>
              </w:rPr>
            </w:pPr>
          </w:p>
        </w:tc>
      </w:tr>
      <w:tr w:rsidR="004F69A2" w:rsidRPr="00E92CD5" w:rsidTr="004F69A2">
        <w:trPr>
          <w:cantSplit/>
          <w:trHeight w:val="18"/>
        </w:trPr>
        <w:tc>
          <w:tcPr>
            <w:tcW w:w="0" w:type="auto"/>
            <w:vAlign w:val="center"/>
          </w:tcPr>
          <w:p w:rsidR="004F69A2" w:rsidRPr="00D31604" w:rsidRDefault="004F69A2" w:rsidP="00982FC0">
            <w:pPr>
              <w:tabs>
                <w:tab w:val="left" w:pos="273"/>
              </w:tabs>
              <w:spacing w:before="60" w:afterLines="60" w:after="144" w:line="240" w:lineRule="auto"/>
              <w:jc w:val="center"/>
              <w:rPr>
                <w:rFonts w:ascii="Arial" w:hAnsi="Arial"/>
                <w:sz w:val="22"/>
                <w:lang w:val="fr-FR"/>
              </w:rPr>
            </w:pPr>
            <w:r w:rsidRPr="00D31604">
              <w:rPr>
                <w:rFonts w:ascii="Arial" w:hAnsi="Arial"/>
                <w:sz w:val="22"/>
                <w:lang w:val="fr-FR"/>
              </w:rPr>
              <w:t>Point V</w:t>
            </w:r>
            <w:r>
              <w:rPr>
                <w:rFonts w:ascii="Arial" w:hAnsi="Arial"/>
                <w:sz w:val="22"/>
                <w:lang w:val="fr-FR"/>
              </w:rPr>
              <w:t>II</w:t>
            </w:r>
            <w:r w:rsidRPr="00D31604">
              <w:rPr>
                <w:rFonts w:ascii="Arial" w:hAnsi="Arial"/>
                <w:sz w:val="22"/>
                <w:lang w:val="fr-FR"/>
              </w:rPr>
              <w:t>.</w:t>
            </w:r>
          </w:p>
        </w:tc>
        <w:tc>
          <w:tcPr>
            <w:tcW w:w="11326" w:type="dxa"/>
            <w:shd w:val="clear" w:color="auto" w:fill="auto"/>
          </w:tcPr>
          <w:p w:rsidR="004F69A2" w:rsidRPr="00982FC0" w:rsidRDefault="00F4467F" w:rsidP="00F4467F">
            <w:pPr>
              <w:tabs>
                <w:tab w:val="left" w:pos="578"/>
              </w:tabs>
              <w:spacing w:before="120" w:after="120" w:line="240" w:lineRule="auto"/>
              <w:jc w:val="both"/>
              <w:rPr>
                <w:rFonts w:ascii="Arial" w:hAnsi="Arial"/>
                <w:bCs/>
                <w:sz w:val="22"/>
                <w:lang w:val="fr-BE"/>
              </w:rPr>
            </w:pPr>
            <w:r w:rsidRPr="00DE5A61">
              <w:rPr>
                <w:rFonts w:asciiTheme="minorBidi" w:hAnsiTheme="minorBidi" w:cstheme="minorBidi"/>
                <w:iCs/>
                <w:noProof/>
                <w:sz w:val="22"/>
                <w:lang w:val="fr-BE"/>
              </w:rPr>
              <w:t>L</w:t>
            </w:r>
            <w:r w:rsidRPr="00DE5A61">
              <w:rPr>
                <w:rFonts w:asciiTheme="minorBidi" w:hAnsiTheme="minorBidi" w:cstheme="minorBidi"/>
                <w:iCs/>
                <w:noProof/>
                <w:sz w:val="22"/>
                <w:lang w:val="fr-FR"/>
              </w:rPr>
              <w:t xml:space="preserve">e soumissionnaire dispose des ressources matérielles et humaines </w:t>
            </w:r>
            <w:r>
              <w:rPr>
                <w:rFonts w:asciiTheme="minorBidi" w:hAnsiTheme="minorBidi" w:cstheme="minorBidi"/>
                <w:iCs/>
                <w:noProof/>
                <w:sz w:val="22"/>
                <w:lang w:val="fr-FR"/>
              </w:rPr>
              <w:t xml:space="preserve">pour fournir </w:t>
            </w:r>
            <w:r>
              <w:rPr>
                <w:rFonts w:ascii="Arial" w:hAnsi="Arial"/>
                <w:bCs/>
                <w:sz w:val="22"/>
                <w:lang w:val="fr-BE"/>
              </w:rPr>
              <w:t>les temps</w:t>
            </w:r>
            <w:r w:rsidRPr="00982FC0">
              <w:rPr>
                <w:rFonts w:ascii="Arial" w:hAnsi="Arial"/>
                <w:bCs/>
                <w:sz w:val="22"/>
                <w:lang w:val="fr-BE"/>
              </w:rPr>
              <w:t xml:space="preserve"> m</w:t>
            </w:r>
            <w:r>
              <w:rPr>
                <w:rFonts w:ascii="Arial" w:hAnsi="Arial"/>
                <w:bCs/>
                <w:sz w:val="22"/>
                <w:lang w:val="fr-BE"/>
              </w:rPr>
              <w:t>ax</w:t>
            </w:r>
            <w:r w:rsidRPr="00982FC0">
              <w:rPr>
                <w:rFonts w:ascii="Arial" w:hAnsi="Arial"/>
                <w:bCs/>
                <w:sz w:val="22"/>
                <w:lang w:val="fr-BE"/>
              </w:rPr>
              <w:t xml:space="preserve">ima de </w:t>
            </w:r>
            <w:r>
              <w:rPr>
                <w:rFonts w:ascii="Arial" w:hAnsi="Arial"/>
                <w:bCs/>
                <w:sz w:val="22"/>
                <w:lang w:val="fr-BE"/>
              </w:rPr>
              <w:t>GTR défini</w:t>
            </w:r>
            <w:r w:rsidRPr="00982FC0">
              <w:rPr>
                <w:rFonts w:ascii="Arial" w:hAnsi="Arial"/>
                <w:bCs/>
                <w:sz w:val="22"/>
                <w:lang w:val="fr-BE"/>
              </w:rPr>
              <w:t>s dans le Cahier de clauses techniques particulières pour les différents sites</w:t>
            </w:r>
          </w:p>
        </w:tc>
        <w:tc>
          <w:tcPr>
            <w:tcW w:w="1202" w:type="dxa"/>
            <w:vAlign w:val="center"/>
          </w:tcPr>
          <w:p w:rsidR="004F69A2" w:rsidRPr="009345D6" w:rsidRDefault="004F69A2" w:rsidP="00982FC0">
            <w:pPr>
              <w:spacing w:before="60" w:afterLines="60" w:after="144" w:line="240" w:lineRule="auto"/>
              <w:jc w:val="center"/>
              <w:outlineLvl w:val="0"/>
              <w:rPr>
                <w:rFonts w:cs="Times New Roman"/>
                <w:szCs w:val="24"/>
                <w:lang w:val="fr-BE"/>
              </w:rPr>
            </w:pPr>
          </w:p>
        </w:tc>
        <w:tc>
          <w:tcPr>
            <w:tcW w:w="0" w:type="auto"/>
            <w:shd w:val="clear" w:color="auto" w:fill="808080" w:themeFill="background1" w:themeFillShade="80"/>
          </w:tcPr>
          <w:p w:rsidR="004F69A2" w:rsidRPr="009345D6" w:rsidRDefault="004F69A2" w:rsidP="00982FC0">
            <w:pPr>
              <w:spacing w:before="60" w:afterLines="60" w:after="144" w:line="240" w:lineRule="auto"/>
              <w:jc w:val="center"/>
              <w:outlineLvl w:val="0"/>
              <w:rPr>
                <w:rFonts w:asciiTheme="majorBidi" w:hAnsiTheme="majorBidi" w:cstheme="majorBidi"/>
                <w:color w:val="808080" w:themeColor="background1" w:themeShade="80"/>
                <w:szCs w:val="24"/>
                <w:highlight w:val="darkGray"/>
                <w:lang w:val="fr-BE"/>
              </w:rPr>
            </w:pPr>
          </w:p>
        </w:tc>
      </w:tr>
      <w:tr w:rsidR="004F69A2" w:rsidRPr="00E92CD5" w:rsidTr="0008237E">
        <w:trPr>
          <w:cantSplit/>
          <w:trHeight w:val="18"/>
        </w:trPr>
        <w:tc>
          <w:tcPr>
            <w:tcW w:w="0" w:type="auto"/>
            <w:vAlign w:val="center"/>
          </w:tcPr>
          <w:p w:rsidR="004F69A2" w:rsidRPr="00D31604" w:rsidRDefault="004F69A2" w:rsidP="00982FC0">
            <w:pPr>
              <w:tabs>
                <w:tab w:val="left" w:pos="273"/>
              </w:tabs>
              <w:spacing w:before="60" w:afterLines="60" w:after="144" w:line="240" w:lineRule="auto"/>
              <w:jc w:val="center"/>
              <w:rPr>
                <w:rFonts w:ascii="Arial" w:hAnsi="Arial"/>
                <w:sz w:val="22"/>
                <w:lang w:val="fr-FR"/>
              </w:rPr>
            </w:pPr>
            <w:r w:rsidRPr="00D31604">
              <w:rPr>
                <w:rFonts w:ascii="Arial" w:hAnsi="Arial"/>
                <w:sz w:val="22"/>
                <w:lang w:val="fr-FR"/>
              </w:rPr>
              <w:t>Point V</w:t>
            </w:r>
            <w:r>
              <w:rPr>
                <w:rFonts w:ascii="Arial" w:hAnsi="Arial"/>
                <w:sz w:val="22"/>
                <w:lang w:val="fr-FR"/>
              </w:rPr>
              <w:t>III</w:t>
            </w:r>
            <w:r w:rsidRPr="00D31604">
              <w:rPr>
                <w:rFonts w:ascii="Arial" w:hAnsi="Arial"/>
                <w:sz w:val="22"/>
                <w:lang w:val="fr-FR"/>
              </w:rPr>
              <w:t>.</w:t>
            </w:r>
          </w:p>
        </w:tc>
        <w:tc>
          <w:tcPr>
            <w:tcW w:w="11326" w:type="dxa"/>
            <w:shd w:val="clear" w:color="auto" w:fill="auto"/>
          </w:tcPr>
          <w:p w:rsidR="004F69A2" w:rsidRPr="00982FC0" w:rsidRDefault="00F4467F" w:rsidP="00E92CD5">
            <w:pPr>
              <w:tabs>
                <w:tab w:val="left" w:pos="578"/>
              </w:tabs>
              <w:spacing w:before="120" w:after="120" w:line="240" w:lineRule="auto"/>
              <w:jc w:val="both"/>
              <w:rPr>
                <w:rFonts w:ascii="Arial" w:hAnsi="Arial"/>
                <w:bCs/>
                <w:sz w:val="22"/>
                <w:lang w:val="fr-BE"/>
              </w:rPr>
            </w:pPr>
            <w:r w:rsidRPr="00DE5A61">
              <w:rPr>
                <w:rFonts w:asciiTheme="minorBidi" w:hAnsiTheme="minorBidi" w:cstheme="minorBidi"/>
                <w:iCs/>
                <w:noProof/>
                <w:sz w:val="22"/>
                <w:lang w:val="fr-BE"/>
              </w:rPr>
              <w:t>L</w:t>
            </w:r>
            <w:r w:rsidRPr="00DE5A61">
              <w:rPr>
                <w:rFonts w:asciiTheme="minorBidi" w:hAnsiTheme="minorBidi" w:cstheme="minorBidi"/>
                <w:iCs/>
                <w:noProof/>
                <w:sz w:val="22"/>
                <w:lang w:val="fr-FR"/>
              </w:rPr>
              <w:t xml:space="preserve">e soumissionnaire dispose des ressources matérielles et humaines </w:t>
            </w:r>
            <w:r>
              <w:rPr>
                <w:rFonts w:asciiTheme="minorBidi" w:hAnsiTheme="minorBidi" w:cstheme="minorBidi"/>
                <w:iCs/>
                <w:noProof/>
                <w:sz w:val="22"/>
                <w:lang w:val="fr-FR"/>
              </w:rPr>
              <w:t>pour assurer au’il y aura maximu</w:t>
            </w:r>
            <w:r w:rsidR="00E92CD5">
              <w:rPr>
                <w:rFonts w:asciiTheme="minorBidi" w:hAnsiTheme="minorBidi" w:cstheme="minorBidi"/>
                <w:iCs/>
                <w:noProof/>
                <w:sz w:val="22"/>
                <w:lang w:val="fr-FR"/>
              </w:rPr>
              <w:t>m</w:t>
            </w:r>
            <w:bookmarkStart w:id="0" w:name="_GoBack"/>
            <w:bookmarkEnd w:id="0"/>
            <w:r>
              <w:rPr>
                <w:rFonts w:asciiTheme="minorBidi" w:hAnsiTheme="minorBidi" w:cstheme="minorBidi"/>
                <w:iCs/>
                <w:noProof/>
                <w:sz w:val="22"/>
                <w:lang w:val="fr-FR"/>
              </w:rPr>
              <w:t xml:space="preserve"> les NMOP</w:t>
            </w:r>
            <w:r>
              <w:rPr>
                <w:rFonts w:ascii="Arial" w:hAnsi="Arial"/>
                <w:bCs/>
                <w:sz w:val="22"/>
                <w:lang w:val="fr-BE"/>
              </w:rPr>
              <w:t xml:space="preserve"> défini</w:t>
            </w:r>
            <w:r w:rsidRPr="00982FC0">
              <w:rPr>
                <w:rFonts w:ascii="Arial" w:hAnsi="Arial"/>
                <w:bCs/>
                <w:sz w:val="22"/>
                <w:lang w:val="fr-BE"/>
              </w:rPr>
              <w:t>s dans le Cahier de clauses techniques particulières pour les différents sites</w:t>
            </w:r>
          </w:p>
        </w:tc>
        <w:tc>
          <w:tcPr>
            <w:tcW w:w="1202" w:type="dxa"/>
            <w:vAlign w:val="center"/>
          </w:tcPr>
          <w:p w:rsidR="004F69A2" w:rsidRPr="009345D6" w:rsidRDefault="004F69A2" w:rsidP="00982FC0">
            <w:pPr>
              <w:spacing w:before="60" w:afterLines="60" w:after="144" w:line="240" w:lineRule="auto"/>
              <w:jc w:val="center"/>
              <w:outlineLvl w:val="0"/>
              <w:rPr>
                <w:rFonts w:cs="Times New Roman"/>
                <w:szCs w:val="24"/>
                <w:lang w:val="fr-BE"/>
              </w:rPr>
            </w:pPr>
          </w:p>
        </w:tc>
        <w:tc>
          <w:tcPr>
            <w:tcW w:w="0" w:type="auto"/>
            <w:tcBorders>
              <w:bottom w:val="single" w:sz="6" w:space="0" w:color="auto"/>
            </w:tcBorders>
            <w:shd w:val="clear" w:color="auto" w:fill="808080" w:themeFill="background1" w:themeFillShade="80"/>
          </w:tcPr>
          <w:p w:rsidR="004F69A2" w:rsidRPr="009345D6" w:rsidRDefault="004F69A2" w:rsidP="00982FC0">
            <w:pPr>
              <w:spacing w:before="60" w:afterLines="60" w:after="144" w:line="240" w:lineRule="auto"/>
              <w:jc w:val="center"/>
              <w:outlineLvl w:val="0"/>
              <w:rPr>
                <w:rFonts w:asciiTheme="majorBidi" w:hAnsiTheme="majorBidi" w:cstheme="majorBidi"/>
                <w:color w:val="808080" w:themeColor="background1" w:themeShade="80"/>
                <w:szCs w:val="24"/>
                <w:highlight w:val="darkGray"/>
                <w:lang w:val="fr-BE"/>
              </w:rPr>
            </w:pPr>
          </w:p>
        </w:tc>
      </w:tr>
    </w:tbl>
    <w:p w:rsidR="00CA68D3" w:rsidRPr="00483A21" w:rsidRDefault="00CA68D3" w:rsidP="0008237E">
      <w:pPr>
        <w:rPr>
          <w:lang w:val="fr-BE"/>
        </w:rPr>
      </w:pPr>
    </w:p>
    <w:sectPr w:rsidR="00CA68D3" w:rsidRPr="00483A21" w:rsidSect="00483A21">
      <w:headerReference w:type="default" r:id="rId7"/>
      <w:footerReference w:type="default" r:id="rId8"/>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5C" w:rsidRDefault="002D2F5C" w:rsidP="00A6560E">
      <w:pPr>
        <w:spacing w:line="240" w:lineRule="auto"/>
      </w:pPr>
      <w:r>
        <w:separator/>
      </w:r>
    </w:p>
  </w:endnote>
  <w:endnote w:type="continuationSeparator" w:id="0">
    <w:p w:rsidR="002D2F5C" w:rsidRDefault="002D2F5C" w:rsidP="00A65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0E" w:rsidRPr="00A6560E" w:rsidRDefault="00A6560E" w:rsidP="00A6560E">
    <w:pPr>
      <w:tabs>
        <w:tab w:val="center" w:pos="4680"/>
        <w:tab w:val="right" w:pos="9360"/>
      </w:tabs>
      <w:jc w:val="right"/>
      <w:rPr>
        <w:b/>
        <w:bCs/>
        <w:lang w:val="fr-BE"/>
      </w:rPr>
    </w:pPr>
    <w:r w:rsidRPr="00A6560E">
      <w:rPr>
        <w:b/>
        <w:bCs/>
        <w:lang w:val="fr-BE"/>
      </w:rPr>
      <w:t>-</w:t>
    </w:r>
    <w:r w:rsidRPr="00A6560E">
      <w:rPr>
        <w:b/>
        <w:bCs/>
        <w:lang w:val="fr-BE"/>
      </w:rPr>
      <w:fldChar w:fldCharType="begin"/>
    </w:r>
    <w:r w:rsidRPr="00A6560E">
      <w:rPr>
        <w:b/>
        <w:bCs/>
        <w:lang w:val="fr-BE"/>
      </w:rPr>
      <w:instrText xml:space="preserve"> PAGE   \* MERGEFORMAT </w:instrText>
    </w:r>
    <w:r w:rsidRPr="00A6560E">
      <w:rPr>
        <w:b/>
        <w:bCs/>
        <w:lang w:val="fr-BE"/>
      </w:rPr>
      <w:fldChar w:fldCharType="separate"/>
    </w:r>
    <w:r w:rsidR="00E92CD5">
      <w:rPr>
        <w:b/>
        <w:bCs/>
        <w:noProof/>
        <w:lang w:val="fr-BE"/>
      </w:rPr>
      <w:t>1</w:t>
    </w:r>
    <w:r w:rsidRPr="00A6560E">
      <w:rPr>
        <w:b/>
        <w:bCs/>
        <w:noProof/>
        <w:lang w:val="fr-BE"/>
      </w:rPr>
      <w:fldChar w:fldCharType="end"/>
    </w:r>
    <w:r w:rsidRPr="00A6560E">
      <w:rPr>
        <w:b/>
        <w:bCs/>
        <w:noProof/>
        <w:lang w:val="fr-BE"/>
      </w:rPr>
      <w:t>-</w:t>
    </w:r>
  </w:p>
  <w:p w:rsidR="00A6560E" w:rsidRDefault="00A65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5C" w:rsidRDefault="002D2F5C" w:rsidP="00A6560E">
      <w:pPr>
        <w:spacing w:line="240" w:lineRule="auto"/>
      </w:pPr>
      <w:r>
        <w:separator/>
      </w:r>
    </w:p>
  </w:footnote>
  <w:footnote w:type="continuationSeparator" w:id="0">
    <w:p w:rsidR="002D2F5C" w:rsidRDefault="002D2F5C" w:rsidP="00A656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0E" w:rsidRPr="00A6560E" w:rsidRDefault="00A6560E" w:rsidP="00A6560E">
    <w:pPr>
      <w:spacing w:line="240" w:lineRule="auto"/>
      <w:jc w:val="right"/>
      <w:rPr>
        <w:rFonts w:asciiTheme="minorBidi" w:hAnsiTheme="minorBidi" w:cstheme="minorBidi"/>
        <w:b/>
        <w:bCs/>
        <w:u w:val="single"/>
        <w:lang w:val="fr-BE"/>
      </w:rPr>
    </w:pPr>
    <w:r w:rsidRPr="00A6560E">
      <w:rPr>
        <w:rFonts w:asciiTheme="minorBidi" w:hAnsiTheme="minorBidi" w:cstheme="minorBidi"/>
        <w:b/>
        <w:bCs/>
        <w:u w:val="single"/>
        <w:lang w:val="fr-BE"/>
      </w:rPr>
      <w:t xml:space="preserve">ANNEXE </w:t>
    </w:r>
    <w:r w:rsidR="00FB60A8">
      <w:rPr>
        <w:rFonts w:asciiTheme="minorBidi" w:hAnsiTheme="minorBidi" w:cstheme="minorBidi"/>
        <w:b/>
        <w:bCs/>
        <w:u w:val="single"/>
        <w:lang w:val="fr-BE"/>
      </w:rPr>
      <w:t>V</w:t>
    </w:r>
  </w:p>
  <w:p w:rsidR="00A6560E" w:rsidRPr="00A6560E" w:rsidRDefault="00A6560E" w:rsidP="00A6560E">
    <w:pPr>
      <w:spacing w:line="276" w:lineRule="auto"/>
      <w:jc w:val="center"/>
      <w:rPr>
        <w:rFonts w:asciiTheme="minorBidi" w:hAnsiTheme="minorBidi" w:cstheme="minorBidi"/>
        <w:color w:val="0000FF"/>
        <w:szCs w:val="24"/>
        <w:lang w:val="fr-BE"/>
      </w:rPr>
    </w:pPr>
    <w:r w:rsidRPr="00A6560E">
      <w:rPr>
        <w:rFonts w:asciiTheme="minorBidi" w:hAnsiTheme="minorBidi" w:cstheme="minorBidi"/>
        <w:b/>
        <w:bCs/>
        <w:szCs w:val="24"/>
        <w:u w:val="single"/>
        <w:lang w:val="fr-BE"/>
      </w:rPr>
      <w:t>DÉMONSTRATION DE CONFORMITÉ AU CAHIER DES CHARGES</w:t>
    </w:r>
    <w:r w:rsidRPr="00A6560E">
      <w:rPr>
        <w:rFonts w:asciiTheme="minorBidi" w:hAnsiTheme="minorBidi" w:cstheme="minorBidi"/>
        <w:b/>
        <w:bCs/>
        <w:szCs w:val="24"/>
        <w:u w:val="single"/>
        <w:lang w:val="fr-BE"/>
      </w:rPr>
      <w:br/>
      <w:t>QUESTIONNAIRE RELATIF AUX EXIGENCES MINIMALES</w:t>
    </w:r>
  </w:p>
  <w:p w:rsidR="00A6560E" w:rsidRPr="00A6560E" w:rsidRDefault="00A6560E" w:rsidP="00A6560E">
    <w:pPr>
      <w:pStyle w:val="Header"/>
      <w:rPr>
        <w:rFonts w:asciiTheme="minorBidi" w:hAnsiTheme="minorBidi" w:cstheme="minorBidi"/>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1"/>
    <w:rsid w:val="000046DC"/>
    <w:rsid w:val="0008237E"/>
    <w:rsid w:val="00131958"/>
    <w:rsid w:val="00280404"/>
    <w:rsid w:val="00293384"/>
    <w:rsid w:val="002B3D48"/>
    <w:rsid w:val="002D2F5C"/>
    <w:rsid w:val="00300A3D"/>
    <w:rsid w:val="0039346D"/>
    <w:rsid w:val="00465901"/>
    <w:rsid w:val="00483A21"/>
    <w:rsid w:val="004D1241"/>
    <w:rsid w:val="004F69A2"/>
    <w:rsid w:val="00510E28"/>
    <w:rsid w:val="00524485"/>
    <w:rsid w:val="00564A3D"/>
    <w:rsid w:val="00621B19"/>
    <w:rsid w:val="006C6CD4"/>
    <w:rsid w:val="00723304"/>
    <w:rsid w:val="007B6CE2"/>
    <w:rsid w:val="00877662"/>
    <w:rsid w:val="008A1685"/>
    <w:rsid w:val="009432D0"/>
    <w:rsid w:val="00982FC0"/>
    <w:rsid w:val="00A6560E"/>
    <w:rsid w:val="00A82B6D"/>
    <w:rsid w:val="00BA1100"/>
    <w:rsid w:val="00BA704E"/>
    <w:rsid w:val="00CA68D3"/>
    <w:rsid w:val="00D064DD"/>
    <w:rsid w:val="00D31604"/>
    <w:rsid w:val="00DE5A61"/>
    <w:rsid w:val="00E92CD5"/>
    <w:rsid w:val="00EC2AED"/>
    <w:rsid w:val="00F367AB"/>
    <w:rsid w:val="00F4467F"/>
    <w:rsid w:val="00FB6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B9EE4C-D99B-4721-BF3D-F0741039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21"/>
    <w:pPr>
      <w:spacing w:after="0" w:line="360" w:lineRule="auto"/>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560E"/>
    <w:pPr>
      <w:spacing w:line="240" w:lineRule="auto"/>
    </w:pPr>
    <w:rPr>
      <w:sz w:val="20"/>
      <w:szCs w:val="20"/>
    </w:rPr>
  </w:style>
  <w:style w:type="character" w:customStyle="1" w:styleId="FootnoteTextChar">
    <w:name w:val="Footnote Text Char"/>
    <w:basedOn w:val="DefaultParagraphFont"/>
    <w:link w:val="FootnoteText"/>
    <w:uiPriority w:val="99"/>
    <w:semiHidden/>
    <w:rsid w:val="00A6560E"/>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A6560E"/>
    <w:rPr>
      <w:vertAlign w:val="superscript"/>
    </w:rPr>
  </w:style>
  <w:style w:type="paragraph" w:styleId="Header">
    <w:name w:val="header"/>
    <w:basedOn w:val="Normal"/>
    <w:link w:val="HeaderChar"/>
    <w:uiPriority w:val="99"/>
    <w:unhideWhenUsed/>
    <w:rsid w:val="00A6560E"/>
    <w:pPr>
      <w:tabs>
        <w:tab w:val="center" w:pos="4680"/>
        <w:tab w:val="right" w:pos="9360"/>
      </w:tabs>
      <w:spacing w:line="240" w:lineRule="auto"/>
    </w:pPr>
  </w:style>
  <w:style w:type="character" w:customStyle="1" w:styleId="HeaderChar">
    <w:name w:val="Header Char"/>
    <w:basedOn w:val="DefaultParagraphFont"/>
    <w:link w:val="Header"/>
    <w:uiPriority w:val="99"/>
    <w:rsid w:val="00A6560E"/>
    <w:rPr>
      <w:rFonts w:ascii="Times New Roman" w:eastAsia="Calibri" w:hAnsi="Times New Roman" w:cs="Arial"/>
      <w:sz w:val="24"/>
    </w:rPr>
  </w:style>
  <w:style w:type="paragraph" w:styleId="Footer">
    <w:name w:val="footer"/>
    <w:basedOn w:val="Normal"/>
    <w:link w:val="FooterChar"/>
    <w:uiPriority w:val="99"/>
    <w:unhideWhenUsed/>
    <w:rsid w:val="00A6560E"/>
    <w:pPr>
      <w:tabs>
        <w:tab w:val="center" w:pos="4680"/>
        <w:tab w:val="right" w:pos="9360"/>
      </w:tabs>
      <w:spacing w:line="240" w:lineRule="auto"/>
    </w:pPr>
  </w:style>
  <w:style w:type="character" w:customStyle="1" w:styleId="FooterChar">
    <w:name w:val="Footer Char"/>
    <w:basedOn w:val="DefaultParagraphFont"/>
    <w:link w:val="Footer"/>
    <w:uiPriority w:val="99"/>
    <w:rsid w:val="00A6560E"/>
    <w:rPr>
      <w:rFonts w:ascii="Times New Roman" w:eastAsia="Calibri" w:hAnsi="Times New Roman" w:cs="Arial"/>
      <w:sz w:val="24"/>
    </w:rPr>
  </w:style>
  <w:style w:type="paragraph" w:styleId="BalloonText">
    <w:name w:val="Balloon Text"/>
    <w:basedOn w:val="Normal"/>
    <w:link w:val="BalloonTextChar"/>
    <w:uiPriority w:val="99"/>
    <w:semiHidden/>
    <w:unhideWhenUsed/>
    <w:rsid w:val="00A65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0E"/>
    <w:rPr>
      <w:rFonts w:ascii="Tahoma" w:eastAsia="Calibri" w:hAnsi="Tahoma" w:cs="Tahoma"/>
      <w:sz w:val="16"/>
      <w:szCs w:val="16"/>
    </w:rPr>
  </w:style>
  <w:style w:type="paragraph" w:customStyle="1" w:styleId="Standard">
    <w:name w:val="Standard"/>
    <w:rsid w:val="004F69A2"/>
    <w:pPr>
      <w:suppressAutoHyphens/>
      <w:autoSpaceDN w:val="0"/>
      <w:textAlignment w:val="baseline"/>
    </w:pPr>
    <w:rPr>
      <w:rFonts w:ascii="Calibri" w:eastAsia="SimSun" w:hAnsi="Calibri" w:cs="Tahoma"/>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5AF1-818A-449E-A350-8D4B4E98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BALABANOVA Lyubomira</dc:creator>
  <cp:lastModifiedBy>OF2 ES Esteban VICENTE</cp:lastModifiedBy>
  <cp:revision>5</cp:revision>
  <dcterms:created xsi:type="dcterms:W3CDTF">2018-08-13T10:00:00Z</dcterms:created>
  <dcterms:modified xsi:type="dcterms:W3CDTF">2018-08-18T09:32:00Z</dcterms:modified>
</cp:coreProperties>
</file>